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8866" w14:textId="207E0D6E" w:rsidR="00BE4F12" w:rsidRDefault="00BE4F12" w:rsidP="007E7C12">
      <w:pPr>
        <w:spacing w:after="0"/>
        <w:rPr>
          <w:b/>
          <w:bCs/>
          <w:sz w:val="28"/>
          <w:szCs w:val="28"/>
        </w:rPr>
      </w:pPr>
      <w:r w:rsidRPr="00BE4F12">
        <w:rPr>
          <w:b/>
          <w:bCs/>
          <w:sz w:val="28"/>
          <w:szCs w:val="28"/>
        </w:rPr>
        <w:t>High level Briefing for councillors re the plans for the Edmonton Incinerator</w:t>
      </w:r>
      <w:r w:rsidR="0076793A">
        <w:rPr>
          <w:b/>
          <w:bCs/>
          <w:sz w:val="28"/>
          <w:szCs w:val="28"/>
        </w:rPr>
        <w:t xml:space="preserve"> </w:t>
      </w:r>
      <w:r w:rsidR="00990C5B">
        <w:rPr>
          <w:b/>
          <w:bCs/>
          <w:sz w:val="28"/>
          <w:szCs w:val="28"/>
        </w:rPr>
        <w:t>–</w:t>
      </w:r>
      <w:r w:rsidR="0076793A">
        <w:rPr>
          <w:b/>
          <w:bCs/>
          <w:sz w:val="28"/>
          <w:szCs w:val="28"/>
        </w:rPr>
        <w:t xml:space="preserve"> Capacity</w:t>
      </w:r>
    </w:p>
    <w:p w14:paraId="11ECC93F" w14:textId="5D81BE65" w:rsidR="00BE4F12" w:rsidRPr="00990C5B" w:rsidRDefault="00990C5B" w:rsidP="007E7C12">
      <w:pPr>
        <w:spacing w:after="0"/>
      </w:pPr>
      <w:r>
        <w:t xml:space="preserve">This is part of a series of briefing papers for decision makers covering </w:t>
      </w:r>
      <w:r>
        <w:rPr>
          <w:color w:val="222222"/>
        </w:rPr>
        <w:t xml:space="preserve">Capacity, Emissions and Costs and Ownership with recommendations to reassess the aspects of the plan that have been subject to change. </w:t>
      </w:r>
      <w:r w:rsidR="00BE4F12" w:rsidRPr="00BE4F12">
        <w:rPr>
          <w:i/>
          <w:iCs/>
          <w:sz w:val="20"/>
          <w:szCs w:val="20"/>
        </w:rPr>
        <w:t xml:space="preserve">S Charles </w:t>
      </w:r>
      <w:r w:rsidR="000D256D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>5</w:t>
      </w:r>
      <w:r w:rsidR="00BE4F12" w:rsidRPr="00BE4F12">
        <w:rPr>
          <w:i/>
          <w:iCs/>
          <w:sz w:val="20"/>
          <w:szCs w:val="20"/>
        </w:rPr>
        <w:t>/07/21</w:t>
      </w:r>
    </w:p>
    <w:p w14:paraId="13B5179D" w14:textId="77777777" w:rsidR="00990C5B" w:rsidRDefault="00990C5B" w:rsidP="007E7C12">
      <w:pPr>
        <w:spacing w:after="0"/>
        <w:rPr>
          <w:b/>
          <w:bCs/>
        </w:rPr>
      </w:pPr>
    </w:p>
    <w:p w14:paraId="09A60C77" w14:textId="55720EF8" w:rsidR="007E7C12" w:rsidRPr="008E7B0D" w:rsidRDefault="007E7C12" w:rsidP="007E7C12">
      <w:pPr>
        <w:spacing w:after="0"/>
        <w:rPr>
          <w:b/>
          <w:bCs/>
        </w:rPr>
      </w:pPr>
      <w:r w:rsidRPr="008E7B0D">
        <w:rPr>
          <w:b/>
          <w:bCs/>
        </w:rPr>
        <w:t>Intro</w:t>
      </w:r>
      <w:r>
        <w:rPr>
          <w:b/>
          <w:bCs/>
        </w:rPr>
        <w:t>duction</w:t>
      </w:r>
    </w:p>
    <w:p w14:paraId="2C236D7D" w14:textId="3A9CBF0D" w:rsidR="000D256D" w:rsidRDefault="007E7C12" w:rsidP="007E7C12">
      <w:pPr>
        <w:spacing w:after="0"/>
      </w:pPr>
      <w:r>
        <w:t xml:space="preserve">There have been significant policy and technology changes since the new incinerator proposals were originally formulated. These </w:t>
      </w:r>
      <w:proofErr w:type="gramStart"/>
      <w:r>
        <w:t>include</w:t>
      </w:r>
      <w:r w:rsidR="00C82361">
        <w:t>:</w:t>
      </w:r>
      <w:proofErr w:type="gramEnd"/>
      <w:r>
        <w:t xml:space="preserve"> demand versus forecast capacity /recycling polic</w:t>
      </w:r>
      <w:r w:rsidR="00EB69EB">
        <w:t>i</w:t>
      </w:r>
      <w:r>
        <w:t>es/ waste separation technology/ low carbon polic</w:t>
      </w:r>
      <w:r w:rsidR="00C82361">
        <w:t>es</w:t>
      </w:r>
      <w:r>
        <w:t xml:space="preserve"> and </w:t>
      </w:r>
      <w:r w:rsidR="000D256D">
        <w:t xml:space="preserve">new </w:t>
      </w:r>
      <w:r>
        <w:t>technolog</w:t>
      </w:r>
      <w:r w:rsidR="00E45516">
        <w:t>ies</w:t>
      </w:r>
      <w:r>
        <w:t>. There is a window of opportunity to adjust to th</w:t>
      </w:r>
      <w:r w:rsidR="00C82361">
        <w:t>ese</w:t>
      </w:r>
      <w:r>
        <w:t xml:space="preserve"> change</w:t>
      </w:r>
      <w:r w:rsidR="00C82361">
        <w:t>s</w:t>
      </w:r>
      <w:r>
        <w:t xml:space="preserve"> to future-proof </w:t>
      </w:r>
      <w:r w:rsidR="00C82361">
        <w:t>the</w:t>
      </w:r>
      <w:r>
        <w:t xml:space="preserve"> cost effectiveness, </w:t>
      </w:r>
      <w:proofErr w:type="gramStart"/>
      <w:r>
        <w:t>viability</w:t>
      </w:r>
      <w:proofErr w:type="gramEnd"/>
      <w:r>
        <w:t xml:space="preserve"> and sustainability </w:t>
      </w:r>
      <w:r w:rsidR="00C82361">
        <w:t>of North London waste handling</w:t>
      </w:r>
      <w:r w:rsidR="00DB542F">
        <w:t>.</w:t>
      </w:r>
    </w:p>
    <w:p w14:paraId="1B5577E4" w14:textId="77777777" w:rsidR="007E7C12" w:rsidRDefault="007E7C12" w:rsidP="007E7C12">
      <w:pPr>
        <w:spacing w:after="0"/>
      </w:pPr>
    </w:p>
    <w:p w14:paraId="38E5163C" w14:textId="77777777" w:rsidR="007E7C12" w:rsidRPr="007E69A3" w:rsidRDefault="007E7C12" w:rsidP="007E7C12">
      <w:pPr>
        <w:spacing w:after="0"/>
        <w:rPr>
          <w:b/>
          <w:bCs/>
        </w:rPr>
      </w:pPr>
      <w:r w:rsidRPr="007E69A3">
        <w:rPr>
          <w:b/>
          <w:bCs/>
        </w:rPr>
        <w:t>Scene Setting</w:t>
      </w:r>
    </w:p>
    <w:p w14:paraId="634F0B99" w14:textId="1F52B6FF" w:rsidR="007E7C12" w:rsidRDefault="007E7C12" w:rsidP="007E7C12">
      <w:pPr>
        <w:spacing w:after="0"/>
      </w:pPr>
      <w:r>
        <w:t xml:space="preserve">The </w:t>
      </w:r>
      <w:r w:rsidR="00413885">
        <w:t xml:space="preserve">plan was approved by the </w:t>
      </w:r>
      <w:hyperlink r:id="rId5" w:history="1">
        <w:r w:rsidR="00413885" w:rsidRPr="00B43C9A">
          <w:rPr>
            <w:rStyle w:val="Hyperlink"/>
          </w:rPr>
          <w:t>Planning Inspectorate</w:t>
        </w:r>
      </w:hyperlink>
      <w:r w:rsidR="00413885">
        <w:t xml:space="preserve"> in 2017 for the redevelopment of the Edmonton site to serve the seven North London Boroughs who jointly own NLWA and its assets. </w:t>
      </w:r>
      <w:r>
        <w:t xml:space="preserve">NLWA commissioned the North London Heat and Power Project (NLHPP) to deliver </w:t>
      </w:r>
      <w:r w:rsidR="00413885">
        <w:t>the</w:t>
      </w:r>
      <w:r>
        <w:t xml:space="preserve"> transformation of the </w:t>
      </w:r>
      <w:r w:rsidR="00413885">
        <w:t>site</w:t>
      </w:r>
      <w:r>
        <w:t>, concluding with a</w:t>
      </w:r>
      <w:r w:rsidR="00413885">
        <w:t>n Energy Recovery Facility, also known as Energy from Waste (</w:t>
      </w:r>
      <w:proofErr w:type="spellStart"/>
      <w:r w:rsidR="00413885">
        <w:t>EfW</w:t>
      </w:r>
      <w:proofErr w:type="spellEnd"/>
      <w:r w:rsidR="00413885">
        <w:t>) with an incinerator capacity of 700,000 tonnes of waste</w:t>
      </w:r>
      <w:r>
        <w:t xml:space="preserve">, due to be contracted by early 2022 and commissioned by 2027. </w:t>
      </w:r>
    </w:p>
    <w:p w14:paraId="6A7CD1CF" w14:textId="4CC6B3DA" w:rsidR="007E7C12" w:rsidRDefault="0003109F" w:rsidP="0003109F">
      <w:pPr>
        <w:spacing w:after="0"/>
        <w:jc w:val="center"/>
      </w:pPr>
      <w:r>
        <w:rPr>
          <w:noProof/>
        </w:rPr>
        <w:drawing>
          <wp:inline distT="0" distB="0" distL="0" distR="0" wp14:anchorId="7DEE85BD" wp14:editId="41C3AB1E">
            <wp:extent cx="5724525" cy="3219979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352" cy="324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6B0D7" w14:textId="77777777" w:rsidR="007E7C12" w:rsidRDefault="007E7C12" w:rsidP="007E7C12">
      <w:pPr>
        <w:pBdr>
          <w:bottom w:val="single" w:sz="6" w:space="1" w:color="auto"/>
        </w:pBdr>
        <w:spacing w:after="0" w:line="240" w:lineRule="auto"/>
      </w:pPr>
    </w:p>
    <w:p w14:paraId="18FCDE78" w14:textId="77777777" w:rsidR="007E7C12" w:rsidRPr="00BE4F12" w:rsidRDefault="007E7C12" w:rsidP="00CA0202">
      <w:pPr>
        <w:spacing w:after="0"/>
        <w:rPr>
          <w:b/>
          <w:bCs/>
          <w:sz w:val="28"/>
          <w:szCs w:val="28"/>
        </w:rPr>
      </w:pPr>
      <w:r w:rsidRPr="00BE4F12">
        <w:rPr>
          <w:b/>
          <w:bCs/>
          <w:sz w:val="28"/>
          <w:szCs w:val="28"/>
        </w:rPr>
        <w:t>CAPACITY</w:t>
      </w:r>
    </w:p>
    <w:p w14:paraId="77A1970A" w14:textId="77777777" w:rsidR="007E7C12" w:rsidRDefault="007E7C12" w:rsidP="00CA020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Current situation and plan</w:t>
      </w:r>
    </w:p>
    <w:p w14:paraId="68EF83C7" w14:textId="3148724A" w:rsidR="00E94068" w:rsidRDefault="00BE4F12" w:rsidP="00CA020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lang w:eastAsia="en-GB"/>
        </w:rPr>
      </w:pPr>
      <w:r w:rsidRPr="00E20BBA">
        <w:t xml:space="preserve">The </w:t>
      </w:r>
      <w:r w:rsidR="00DB542F">
        <w:t>figure of</w:t>
      </w:r>
      <w:r w:rsidR="000A515B" w:rsidRPr="00E20BBA">
        <w:t xml:space="preserve"> 700,000 tonnes </w:t>
      </w:r>
      <w:r w:rsidR="0003109F">
        <w:t xml:space="preserve">residual waste to </w:t>
      </w:r>
      <w:r w:rsidR="00DB542F">
        <w:t>incinerat</w:t>
      </w:r>
      <w:r w:rsidR="0003109F">
        <w:t>e</w:t>
      </w:r>
      <w:r w:rsidR="00DB542F">
        <w:t xml:space="preserve"> at Edmonton’s Energy from Waste (</w:t>
      </w:r>
      <w:proofErr w:type="spellStart"/>
      <w:r w:rsidR="00DB542F">
        <w:t>EfW</w:t>
      </w:r>
      <w:proofErr w:type="spellEnd"/>
      <w:r w:rsidR="00DB542F">
        <w:t>) facility from</w:t>
      </w:r>
      <w:r w:rsidR="000D256D">
        <w:t xml:space="preserve"> the </w:t>
      </w:r>
      <w:r w:rsidR="00E20BBA" w:rsidRPr="00E20BBA">
        <w:t>start date of</w:t>
      </w:r>
      <w:r w:rsidR="00C82361" w:rsidRPr="00E20BBA">
        <w:t xml:space="preserve"> 2027 </w:t>
      </w:r>
      <w:r w:rsidR="001413EA" w:rsidRPr="00E20BBA">
        <w:t xml:space="preserve">comes from </w:t>
      </w:r>
      <w:r w:rsidR="00E20BBA" w:rsidRPr="00E20BBA">
        <w:t>the 2014</w:t>
      </w:r>
      <w:r w:rsidR="001413EA" w:rsidRPr="00E20BBA">
        <w:t xml:space="preserve"> </w:t>
      </w:r>
      <w:hyperlink r:id="rId7" w:history="1">
        <w:r w:rsidR="001413EA" w:rsidRPr="00E20BBA">
          <w:rPr>
            <w:rStyle w:val="Hyperlink"/>
          </w:rPr>
          <w:t>Eunomia study</w:t>
        </w:r>
      </w:hyperlink>
      <w:r w:rsidR="00B431FB">
        <w:t xml:space="preserve"> (p53), based on </w:t>
      </w:r>
      <w:r w:rsidR="00DB542F">
        <w:t xml:space="preserve">figures from </w:t>
      </w:r>
      <w:r w:rsidR="00B431FB">
        <w:t>the 2014 London Plan</w:t>
      </w:r>
      <w:r w:rsidR="00911F0E">
        <w:t xml:space="preserve">, </w:t>
      </w:r>
      <w:r w:rsidR="00E45516">
        <w:t>though</w:t>
      </w:r>
      <w:r w:rsidR="00911F0E" w:rsidRPr="00CA0202">
        <w:t xml:space="preserve"> heavily caveated</w:t>
      </w:r>
      <w:r w:rsidR="001413EA" w:rsidRPr="00CA0202">
        <w:t xml:space="preserve">. </w:t>
      </w:r>
    </w:p>
    <w:p w14:paraId="7791CD7C" w14:textId="2004C6A5" w:rsidR="007E7C12" w:rsidRDefault="00E94068" w:rsidP="00CA020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lang w:eastAsia="en-GB"/>
        </w:rPr>
      </w:pPr>
      <w:r>
        <w:t xml:space="preserve">The </w:t>
      </w:r>
      <w:hyperlink r:id="rId8" w:history="1">
        <w:r w:rsidRPr="00A21D1F">
          <w:rPr>
            <w:rStyle w:val="Hyperlink"/>
          </w:rPr>
          <w:t xml:space="preserve">NLWA </w:t>
        </w:r>
        <w:r w:rsidR="00C75158">
          <w:rPr>
            <w:rStyle w:val="Hyperlink"/>
          </w:rPr>
          <w:t xml:space="preserve">Finance Update </w:t>
        </w:r>
        <w:r w:rsidRPr="00A21D1F">
          <w:rPr>
            <w:rStyle w:val="Hyperlink"/>
          </w:rPr>
          <w:t>2020/21</w:t>
        </w:r>
      </w:hyperlink>
      <w:r>
        <w:t xml:space="preserve"> </w:t>
      </w:r>
      <w:r w:rsidR="00C75158">
        <w:t>(p4)</w:t>
      </w:r>
      <w:r>
        <w:t xml:space="preserve"> showed a reduction in residual waste to 570,394 tonnes, whereas the Eunomia study</w:t>
      </w:r>
      <w:r w:rsidR="001413EA" w:rsidRPr="00CA0202">
        <w:t xml:space="preserve"> </w:t>
      </w:r>
      <w:r w:rsidR="007E7C12" w:rsidRPr="00CA0202">
        <w:t>relie</w:t>
      </w:r>
      <w:r w:rsidR="001413EA" w:rsidRPr="00CA0202">
        <w:t>d</w:t>
      </w:r>
      <w:r w:rsidR="007E7C12" w:rsidRPr="00CA0202">
        <w:t xml:space="preserve"> on </w:t>
      </w:r>
      <w:r w:rsidR="00DB542F" w:rsidRPr="00CA0202">
        <w:t>steadily</w:t>
      </w:r>
      <w:r w:rsidR="00C82361" w:rsidRPr="00CA0202">
        <w:t xml:space="preserve"> increas</w:t>
      </w:r>
      <w:r w:rsidR="00DB542F" w:rsidRPr="00CA0202">
        <w:t>ing</w:t>
      </w:r>
      <w:r w:rsidR="00C82361" w:rsidRPr="00CA0202">
        <w:t xml:space="preserve"> waste</w:t>
      </w:r>
      <w:r w:rsidR="00A21D1F">
        <w:t xml:space="preserve"> and</w:t>
      </w:r>
      <w:r w:rsidR="007E7C12" w:rsidRPr="00CA0202">
        <w:t xml:space="preserve"> </w:t>
      </w:r>
      <w:r w:rsidR="00A21D1F" w:rsidRPr="00CA0202">
        <w:t xml:space="preserve">low levels of recycling and </w:t>
      </w:r>
      <w:r w:rsidR="00A21D1F">
        <w:t>was</w:t>
      </w:r>
      <w:r w:rsidR="000D256D" w:rsidRPr="00CA0202">
        <w:t xml:space="preserve"> written </w:t>
      </w:r>
      <w:r w:rsidR="001413EA" w:rsidRPr="00CA0202">
        <w:t xml:space="preserve">prior to </w:t>
      </w:r>
      <w:r w:rsidR="007E7C12" w:rsidRPr="00CA0202">
        <w:t xml:space="preserve">the Government </w:t>
      </w:r>
      <w:r w:rsidR="000D256D" w:rsidRPr="00CA0202">
        <w:t>promises</w:t>
      </w:r>
      <w:r w:rsidR="007E7C12" w:rsidRPr="00CA0202">
        <w:t xml:space="preserve"> to clean up the waste industry.</w:t>
      </w:r>
    </w:p>
    <w:p w14:paraId="00A36C36" w14:textId="6F59F509" w:rsidR="00413959" w:rsidRDefault="00413959" w:rsidP="0041395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</w:pPr>
      <w:r w:rsidRPr="00BE4F12">
        <w:t>The</w:t>
      </w:r>
      <w:r>
        <w:t xml:space="preserve"> </w:t>
      </w:r>
      <w:proofErr w:type="spellStart"/>
      <w:r>
        <w:t>EfW</w:t>
      </w:r>
      <w:proofErr w:type="spellEnd"/>
      <w:r>
        <w:t xml:space="preserve"> design is for </w:t>
      </w:r>
      <w:r w:rsidRPr="00BE4F12">
        <w:t xml:space="preserve">two </w:t>
      </w:r>
      <w:r>
        <w:t xml:space="preserve">treatment streams of 350,000 tonnes each, </w:t>
      </w:r>
      <w:r w:rsidR="00E45516">
        <w:t xml:space="preserve">so feedstock from further afield </w:t>
      </w:r>
      <w:r>
        <w:t>w</w:t>
      </w:r>
      <w:r w:rsidR="00E45516">
        <w:t>ould</w:t>
      </w:r>
      <w:r>
        <w:t xml:space="preserve"> therefore need to </w:t>
      </w:r>
      <w:r w:rsidR="00E45516">
        <w:t>be bought</w:t>
      </w:r>
      <w:r>
        <w:t xml:space="preserve"> in from time to time to keep these in full use. </w:t>
      </w:r>
    </w:p>
    <w:p w14:paraId="352F7907" w14:textId="70C73BA6" w:rsidR="00E20BBA" w:rsidRPr="00CA0202" w:rsidRDefault="00E20BBA" w:rsidP="00CA020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lang w:eastAsia="en-GB"/>
        </w:rPr>
      </w:pPr>
      <w:r w:rsidRPr="00CA0202">
        <w:t xml:space="preserve">The </w:t>
      </w:r>
      <w:r w:rsidR="00CA0202">
        <w:t xml:space="preserve">2020 </w:t>
      </w:r>
      <w:hyperlink r:id="rId9" w:history="1">
        <w:r w:rsidR="00CA0202" w:rsidRPr="00CA0202">
          <w:rPr>
            <w:rStyle w:val="Hyperlink"/>
            <w:color w:val="2F57D9"/>
          </w:rPr>
          <w:t>London Plan</w:t>
        </w:r>
      </w:hyperlink>
      <w:r w:rsidR="00CA0202" w:rsidRPr="00CA0202">
        <w:t xml:space="preserve"> (p371)</w:t>
      </w:r>
      <w:r w:rsidR="00CA0202">
        <w:t xml:space="preserve"> </w:t>
      </w:r>
      <w:r w:rsidRPr="00CA0202">
        <w:t>estimated</w:t>
      </w:r>
      <w:r w:rsidR="00CA0202">
        <w:t xml:space="preserve"> the</w:t>
      </w:r>
      <w:r w:rsidRPr="00CA0202">
        <w:t xml:space="preserve"> </w:t>
      </w:r>
      <w:r w:rsidRPr="00CA0202">
        <w:rPr>
          <w:u w:val="single"/>
        </w:rPr>
        <w:t>total</w:t>
      </w:r>
      <w:r w:rsidRPr="00CA0202">
        <w:t xml:space="preserve"> waste </w:t>
      </w:r>
      <w:r w:rsidR="000D256D" w:rsidRPr="00CA0202">
        <w:t>from</w:t>
      </w:r>
      <w:r w:rsidRPr="00CA0202">
        <w:t xml:space="preserve"> the</w:t>
      </w:r>
      <w:r w:rsidR="00CA0202">
        <w:t xml:space="preserve"> </w:t>
      </w:r>
      <w:r w:rsidR="00CA0202" w:rsidRPr="00CA0202">
        <w:t>North London seven Boroughs</w:t>
      </w:r>
      <w:r w:rsidR="00DB542F" w:rsidRPr="00CA0202">
        <w:t xml:space="preserve"> </w:t>
      </w:r>
      <w:r w:rsidR="00CA0202">
        <w:t>a</w:t>
      </w:r>
      <w:r w:rsidRPr="00CA0202">
        <w:t xml:space="preserve">s 1,796,000 tonnes in 2021 and 1,906,000 tonnes by 2041. </w:t>
      </w:r>
      <w:r w:rsidR="00413959">
        <w:t>However, t</w:t>
      </w:r>
      <w:r w:rsidRPr="00CA0202">
        <w:t>he</w:t>
      </w:r>
      <w:r w:rsidR="00CA0202">
        <w:t>se</w:t>
      </w:r>
      <w:r w:rsidR="00DB542F" w:rsidRPr="00CA0202">
        <w:t xml:space="preserve"> figures</w:t>
      </w:r>
      <w:r w:rsidRPr="00CA0202">
        <w:t xml:space="preserve"> </w:t>
      </w:r>
      <w:r w:rsidR="00E45516">
        <w:t xml:space="preserve">also </w:t>
      </w:r>
      <w:r w:rsidRPr="00E20BBA">
        <w:t>include</w:t>
      </w:r>
      <w:r w:rsidR="00E45516">
        <w:t>d</w:t>
      </w:r>
      <w:r w:rsidR="00413959">
        <w:t xml:space="preserve"> volumes of recycling and </w:t>
      </w:r>
      <w:r w:rsidR="00413959" w:rsidRPr="00CA0202">
        <w:t>commercial and Industrial waste not collected by LAs</w:t>
      </w:r>
      <w:r w:rsidR="00413959">
        <w:t>.</w:t>
      </w:r>
      <w:r w:rsidRPr="00E20BBA">
        <w:t xml:space="preserve"> </w:t>
      </w:r>
      <w:r w:rsidR="00E94068">
        <w:t xml:space="preserve"> </w:t>
      </w:r>
    </w:p>
    <w:p w14:paraId="5A003CD6" w14:textId="491E89E3" w:rsidR="00DC26FE" w:rsidRPr="00DC26FE" w:rsidRDefault="00DC26FE" w:rsidP="00DC26FE">
      <w:pPr>
        <w:spacing w:before="120" w:after="0"/>
        <w:ind w:left="360"/>
        <w:rPr>
          <w:b/>
          <w:bCs/>
          <w:sz w:val="28"/>
          <w:szCs w:val="28"/>
        </w:rPr>
      </w:pPr>
      <w:r w:rsidRPr="00DC26FE">
        <w:rPr>
          <w:b/>
          <w:bCs/>
          <w:sz w:val="28"/>
          <w:szCs w:val="28"/>
        </w:rPr>
        <w:t xml:space="preserve">Changes since 2016 </w:t>
      </w:r>
      <w:r w:rsidR="002A0181">
        <w:rPr>
          <w:b/>
          <w:bCs/>
          <w:sz w:val="28"/>
          <w:szCs w:val="28"/>
        </w:rPr>
        <w:t>affecting</w:t>
      </w:r>
      <w:r w:rsidRPr="00DC26FE">
        <w:rPr>
          <w:b/>
          <w:bCs/>
          <w:sz w:val="28"/>
          <w:szCs w:val="28"/>
        </w:rPr>
        <w:t xml:space="preserve"> </w:t>
      </w:r>
      <w:proofErr w:type="gramStart"/>
      <w:r w:rsidR="00632C62">
        <w:rPr>
          <w:b/>
          <w:bCs/>
          <w:sz w:val="28"/>
          <w:szCs w:val="28"/>
        </w:rPr>
        <w:t>c</w:t>
      </w:r>
      <w:r w:rsidRPr="00DC26FE">
        <w:rPr>
          <w:b/>
          <w:bCs/>
          <w:sz w:val="28"/>
          <w:szCs w:val="28"/>
        </w:rPr>
        <w:t>apacity</w:t>
      </w:r>
      <w:proofErr w:type="gramEnd"/>
    </w:p>
    <w:p w14:paraId="1852E8F8" w14:textId="1A9823AC" w:rsidR="00CA0202" w:rsidRDefault="00CA0202" w:rsidP="00413885">
      <w:pPr>
        <w:spacing w:before="100" w:beforeAutospacing="1" w:after="100" w:afterAutospacing="1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27"/>
      </w:tblGrid>
      <w:tr w:rsidR="00266E5D" w14:paraId="750263FB" w14:textId="77777777" w:rsidTr="005448D1">
        <w:trPr>
          <w:trHeight w:val="5245"/>
        </w:trPr>
        <w:tc>
          <w:tcPr>
            <w:tcW w:w="5529" w:type="dxa"/>
          </w:tcPr>
          <w:p w14:paraId="1BA5E189" w14:textId="32EC7A4F" w:rsidR="00266E5D" w:rsidRPr="00A30061" w:rsidRDefault="00E45516" w:rsidP="00A30061">
            <w:pPr>
              <w:spacing w:before="100" w:beforeAutospacing="1" w:after="100" w:afterAutospacing="1"/>
            </w:pPr>
            <w:r>
              <w:rPr>
                <w:noProof/>
              </w:rPr>
              <w:lastRenderedPageBreak/>
              <w:drawing>
                <wp:inline distT="0" distB="0" distL="0" distR="0" wp14:anchorId="01E68FAF" wp14:editId="662D34E2">
                  <wp:extent cx="3105150" cy="3313230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669" cy="336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48CF30A6" w14:textId="77777777" w:rsidR="008B7D1C" w:rsidRPr="008B7D1C" w:rsidRDefault="008B7D1C" w:rsidP="008B7D1C"/>
          <w:p w14:paraId="07BD5C89" w14:textId="6AC2A8B6" w:rsidR="00DC26FE" w:rsidRDefault="00643068" w:rsidP="008B7D1C">
            <w:pPr>
              <w:pStyle w:val="ListParagraph"/>
              <w:numPr>
                <w:ilvl w:val="0"/>
                <w:numId w:val="21"/>
              </w:numPr>
              <w:ind w:left="357" w:hanging="357"/>
            </w:pPr>
            <w:r w:rsidRPr="002A0181">
              <w:rPr>
                <w:sz w:val="24"/>
                <w:szCs w:val="24"/>
              </w:rPr>
              <w:t>Overcapacity a</w:t>
            </w:r>
            <w:r w:rsidR="00266E5D" w:rsidRPr="002A0181">
              <w:rPr>
                <w:sz w:val="24"/>
                <w:szCs w:val="24"/>
              </w:rPr>
              <w:t xml:space="preserve">cross London </w:t>
            </w:r>
            <w:r w:rsidRPr="00643068">
              <w:t>is estimated as</w:t>
            </w:r>
            <w:r w:rsidRPr="002A0181">
              <w:rPr>
                <w:sz w:val="24"/>
                <w:szCs w:val="24"/>
              </w:rPr>
              <w:t xml:space="preserve"> </w:t>
            </w:r>
            <w:r w:rsidR="00266E5D">
              <w:t>1,394,080 tonnes by 2035 (2,995.920 cap – 1,690,000 vol)</w:t>
            </w:r>
            <w:r>
              <w:t xml:space="preserve"> in</w:t>
            </w:r>
            <w:r w:rsidR="00266E5D">
              <w:t xml:space="preserve"> </w:t>
            </w:r>
            <w:proofErr w:type="spellStart"/>
            <w:r w:rsidRPr="0003109F">
              <w:t>XRZerowaste’s</w:t>
            </w:r>
            <w:proofErr w:type="spellEnd"/>
            <w:r w:rsidRPr="0003109F">
              <w:t xml:space="preserve"> </w:t>
            </w:r>
            <w:hyperlink r:id="rId11" w:history="1">
              <w:r w:rsidRPr="0002516B">
                <w:rPr>
                  <w:rStyle w:val="Hyperlink"/>
                </w:rPr>
                <w:t>Policy Brief</w:t>
              </w:r>
            </w:hyperlink>
            <w:r w:rsidRPr="001413EA">
              <w:t xml:space="preserve"> (p8)</w:t>
            </w:r>
            <w:r>
              <w:t xml:space="preserve"> </w:t>
            </w:r>
            <w:r w:rsidR="00266E5D">
              <w:t>based on the 65% recycling target</w:t>
            </w:r>
            <w:r w:rsidR="00DC26FE">
              <w:t>.</w:t>
            </w:r>
          </w:p>
          <w:p w14:paraId="51B45838" w14:textId="77777777" w:rsidR="00DC26FE" w:rsidRDefault="00DC26FE" w:rsidP="002A0181"/>
          <w:p w14:paraId="5887B207" w14:textId="770E0330" w:rsidR="00266E5D" w:rsidRDefault="00643068" w:rsidP="008B7D1C">
            <w:pPr>
              <w:pStyle w:val="ListParagraph"/>
              <w:numPr>
                <w:ilvl w:val="0"/>
                <w:numId w:val="21"/>
              </w:numPr>
              <w:ind w:left="357" w:hanging="357"/>
            </w:pPr>
            <w:r>
              <w:t xml:space="preserve">Since more incinerators have been approved in </w:t>
            </w:r>
            <w:r w:rsidR="00DC26FE">
              <w:t xml:space="preserve">London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hyperlink r:id="rId12" w:history="1">
              <w:r w:rsidRPr="00643068">
                <w:rPr>
                  <w:rStyle w:val="Hyperlink"/>
                </w:rPr>
                <w:t xml:space="preserve">800,000 tonnes at Cory </w:t>
              </w:r>
            </w:hyperlink>
            <w:r>
              <w:t xml:space="preserve"> t</w:t>
            </w:r>
            <w:r w:rsidR="00266E5D">
              <w:t xml:space="preserve">he GLA have confirmed that they believe that </w:t>
            </w:r>
            <w:r>
              <w:t xml:space="preserve">overcapacity could reach </w:t>
            </w:r>
            <w:r w:rsidR="00266E5D">
              <w:t>950,000 tonnes.</w:t>
            </w:r>
          </w:p>
          <w:p w14:paraId="35A2975A" w14:textId="77777777" w:rsidR="008575D7" w:rsidRPr="008575D7" w:rsidRDefault="008575D7" w:rsidP="002A0181">
            <w:pPr>
              <w:rPr>
                <w:sz w:val="18"/>
                <w:szCs w:val="18"/>
              </w:rPr>
            </w:pPr>
          </w:p>
          <w:p w14:paraId="19820D14" w14:textId="77777777" w:rsidR="00A30061" w:rsidRDefault="00643068" w:rsidP="008B7D1C">
            <w:pPr>
              <w:pStyle w:val="ListParagraph"/>
              <w:numPr>
                <w:ilvl w:val="0"/>
                <w:numId w:val="20"/>
              </w:numPr>
              <w:ind w:left="357" w:hanging="357"/>
            </w:pPr>
            <w:r>
              <w:rPr>
                <w:sz w:val="24"/>
                <w:szCs w:val="24"/>
              </w:rPr>
              <w:t>Overcapacity a</w:t>
            </w:r>
            <w:r w:rsidR="00266E5D" w:rsidRPr="00266E5D">
              <w:rPr>
                <w:sz w:val="24"/>
                <w:szCs w:val="24"/>
              </w:rPr>
              <w:t xml:space="preserve">cross England </w:t>
            </w:r>
            <w:r>
              <w:t xml:space="preserve">is </w:t>
            </w:r>
            <w:r w:rsidR="00266E5D">
              <w:t>estimate</w:t>
            </w:r>
            <w:r>
              <w:t xml:space="preserve">d </w:t>
            </w:r>
            <w:r w:rsidR="00A30061">
              <w:t>i</w:t>
            </w:r>
            <w:r>
              <w:t xml:space="preserve">n </w:t>
            </w:r>
            <w:proofErr w:type="spellStart"/>
            <w:r w:rsidRPr="00DC246E">
              <w:t>XRZerowaste</w:t>
            </w:r>
            <w:proofErr w:type="spellEnd"/>
            <w:r>
              <w:t xml:space="preserve"> </w:t>
            </w:r>
            <w:hyperlink r:id="rId13" w:history="1">
              <w:r w:rsidRPr="0002516B">
                <w:rPr>
                  <w:rStyle w:val="Hyperlink"/>
                </w:rPr>
                <w:t>Policy Brief</w:t>
              </w:r>
            </w:hyperlink>
            <w:r w:rsidRPr="001413EA">
              <w:t xml:space="preserve"> (p8)</w:t>
            </w:r>
            <w:r>
              <w:t xml:space="preserve"> as</w:t>
            </w:r>
            <w:r w:rsidR="00266E5D">
              <w:t xml:space="preserve"> 14,797,270  tonnes by 2035 (27,042,770 cap – 12,245,500 vol) IF </w:t>
            </w:r>
            <w:hyperlink r:id="rId14" w:history="1">
              <w:r w:rsidR="00266E5D" w:rsidRPr="008C075F">
                <w:rPr>
                  <w:rStyle w:val="Hyperlink"/>
                </w:rPr>
                <w:t>Government proposals</w:t>
              </w:r>
            </w:hyperlink>
            <w:r w:rsidR="00266E5D">
              <w:t xml:space="preserve"> re waste are implemented</w:t>
            </w:r>
            <w:r>
              <w:t xml:space="preserve"> </w:t>
            </w:r>
          </w:p>
          <w:p w14:paraId="2D3C6D51" w14:textId="77777777" w:rsidR="00A30061" w:rsidRPr="00A30061" w:rsidRDefault="00A30061" w:rsidP="00A30061">
            <w:pPr>
              <w:pStyle w:val="ListParagraph"/>
              <w:rPr>
                <w:sz w:val="18"/>
                <w:szCs w:val="18"/>
              </w:rPr>
            </w:pPr>
          </w:p>
          <w:p w14:paraId="45CA17DD" w14:textId="0A6D2DC8" w:rsidR="00266E5D" w:rsidRDefault="002A0181" w:rsidP="00A30061">
            <w:r w:rsidRPr="00A30061">
              <w:rPr>
                <w:sz w:val="18"/>
                <w:szCs w:val="18"/>
              </w:rPr>
              <w:t>(</w:t>
            </w:r>
            <w:proofErr w:type="gramStart"/>
            <w:r w:rsidRPr="00A30061">
              <w:rPr>
                <w:sz w:val="18"/>
                <w:szCs w:val="18"/>
              </w:rPr>
              <w:t>the</w:t>
            </w:r>
            <w:proofErr w:type="gramEnd"/>
            <w:r w:rsidRPr="00A30061">
              <w:rPr>
                <w:sz w:val="18"/>
                <w:szCs w:val="18"/>
              </w:rPr>
              <w:t xml:space="preserve"> </w:t>
            </w:r>
            <w:proofErr w:type="spellStart"/>
            <w:r w:rsidRPr="00A30061">
              <w:rPr>
                <w:sz w:val="18"/>
                <w:szCs w:val="18"/>
              </w:rPr>
              <w:t>XRZero</w:t>
            </w:r>
            <w:proofErr w:type="spellEnd"/>
            <w:r w:rsidRPr="00A30061">
              <w:rPr>
                <w:sz w:val="18"/>
                <w:szCs w:val="18"/>
              </w:rPr>
              <w:t xml:space="preserve"> Waste policy brief uses Defra Waste Data Flow</w:t>
            </w:r>
            <w:r>
              <w:t xml:space="preserve"> </w:t>
            </w:r>
            <w:hyperlink r:id="rId15" w:history="1">
              <w:r w:rsidRPr="00A30061">
                <w:rPr>
                  <w:rStyle w:val="Hyperlink"/>
                  <w:sz w:val="18"/>
                  <w:szCs w:val="18"/>
                </w:rPr>
                <w:t>https://www.wastedataflow.org/</w:t>
              </w:r>
            </w:hyperlink>
            <w:r w:rsidRPr="00A30061">
              <w:rPr>
                <w:sz w:val="18"/>
                <w:szCs w:val="18"/>
              </w:rPr>
              <w:t xml:space="preserve"> )</w:t>
            </w:r>
          </w:p>
        </w:tc>
      </w:tr>
    </w:tbl>
    <w:p w14:paraId="1CA5CF14" w14:textId="77777777" w:rsidR="00A2482A" w:rsidRDefault="00A2482A" w:rsidP="00A2482A">
      <w:pPr>
        <w:pStyle w:val="ListParagraph"/>
        <w:numPr>
          <w:ilvl w:val="0"/>
          <w:numId w:val="2"/>
        </w:numPr>
        <w:spacing w:after="0" w:line="240" w:lineRule="auto"/>
        <w:ind w:left="754" w:hanging="357"/>
        <w:contextualSpacing w:val="0"/>
      </w:pPr>
      <w:r w:rsidRPr="00A84C5C">
        <w:rPr>
          <w:sz w:val="24"/>
          <w:szCs w:val="24"/>
        </w:rPr>
        <w:t>New Legislation</w:t>
      </w:r>
      <w:r w:rsidRPr="00BE4F12">
        <w:t xml:space="preserve"> </w:t>
      </w:r>
      <w:r>
        <w:t>will change the modelling assumptions on residual waste volume and carbon content. T</w:t>
      </w:r>
      <w:r w:rsidRPr="00BE4F12">
        <w:t>he Environment Bill, the Deposit Return Scheme, Extended Producer scheme</w:t>
      </w:r>
      <w:r>
        <w:t xml:space="preserve"> and</w:t>
      </w:r>
      <w:r w:rsidRPr="00BE4F12">
        <w:t xml:space="preserve"> Consistency in Recycling</w:t>
      </w:r>
      <w:r>
        <w:t xml:space="preserve"> </w:t>
      </w:r>
      <w:r w:rsidRPr="00BE4F12">
        <w:t xml:space="preserve">will significantly </w:t>
      </w:r>
      <w:proofErr w:type="gramStart"/>
      <w:r w:rsidRPr="00BE4F12">
        <w:t>reduce</w:t>
      </w:r>
      <w:r>
        <w:t>:</w:t>
      </w:r>
      <w:proofErr w:type="gramEnd"/>
      <w:r w:rsidRPr="00BE4F12">
        <w:t xml:space="preserve"> excess packaging, drinks containers in kerbside collections, food and garden waste in residual collections and </w:t>
      </w:r>
      <w:r>
        <w:t xml:space="preserve">volume of </w:t>
      </w:r>
      <w:r w:rsidRPr="00BE4F12">
        <w:t>contaminated recycling loads. Additional items, such as foil and plastic film will be collected with recycling</w:t>
      </w:r>
      <w:r>
        <w:t>.</w:t>
      </w:r>
    </w:p>
    <w:p w14:paraId="63D6C6EA" w14:textId="77777777" w:rsidR="00D91946" w:rsidRDefault="00D91946" w:rsidP="00D91946">
      <w:pPr>
        <w:pStyle w:val="ListParagraph"/>
        <w:numPr>
          <w:ilvl w:val="0"/>
          <w:numId w:val="2"/>
        </w:numPr>
        <w:spacing w:after="0" w:line="240" w:lineRule="auto"/>
        <w:ind w:left="754" w:hanging="357"/>
        <w:contextualSpacing w:val="0"/>
      </w:pPr>
      <w:r>
        <w:rPr>
          <w:sz w:val="24"/>
          <w:szCs w:val="24"/>
        </w:rPr>
        <w:t xml:space="preserve">Payments </w:t>
      </w:r>
      <w:r w:rsidRPr="00DC246E">
        <w:t>from packaging producers to</w:t>
      </w:r>
      <w:r>
        <w:t xml:space="preserve"> Local Authorities, estimated </w:t>
      </w:r>
      <w:hyperlink r:id="rId16" w:history="1">
        <w:r w:rsidRPr="005D1A1C">
          <w:rPr>
            <w:rStyle w:val="Hyperlink"/>
          </w:rPr>
          <w:t>by Defra</w:t>
        </w:r>
      </w:hyperlink>
      <w:r>
        <w:t xml:space="preserve"> as around £3m a year will be in place to be used for better recycling handling. </w:t>
      </w:r>
    </w:p>
    <w:p w14:paraId="5E8F948D" w14:textId="48F79B4E" w:rsidR="00DC246E" w:rsidRDefault="00DC246E" w:rsidP="00DC26FE">
      <w:pPr>
        <w:pStyle w:val="ListParagraph"/>
        <w:numPr>
          <w:ilvl w:val="0"/>
          <w:numId w:val="2"/>
        </w:numPr>
        <w:spacing w:after="0" w:line="240" w:lineRule="auto"/>
        <w:ind w:left="754" w:hanging="357"/>
        <w:contextualSpacing w:val="0"/>
      </w:pPr>
      <w:r w:rsidRPr="00A84C5C">
        <w:rPr>
          <w:sz w:val="24"/>
          <w:szCs w:val="24"/>
        </w:rPr>
        <w:t>The London Plan</w:t>
      </w:r>
      <w:r>
        <w:t xml:space="preserve"> </w:t>
      </w:r>
      <w:hyperlink r:id="rId17" w:history="1">
        <w:r w:rsidRPr="00477636">
          <w:rPr>
            <w:rStyle w:val="Hyperlink"/>
            <w:rFonts w:cstheme="minorHAnsi"/>
          </w:rPr>
          <w:t>Policy SI 7</w:t>
        </w:r>
      </w:hyperlink>
      <w:r w:rsidRPr="008F3B26">
        <w:rPr>
          <w:rStyle w:val="markedcontent"/>
          <w:rFonts w:cstheme="minorHAnsi"/>
        </w:rPr>
        <w:t xml:space="preserve"> </w:t>
      </w:r>
      <w:r>
        <w:t>has increased the target for recycling from 50% to 65%</w:t>
      </w:r>
      <w:r w:rsidR="00DC26FE">
        <w:t>.</w:t>
      </w:r>
      <w:r>
        <w:t xml:space="preserve"> </w:t>
      </w:r>
    </w:p>
    <w:p w14:paraId="55A1BA24" w14:textId="0CF1599F" w:rsidR="00526A4D" w:rsidRDefault="00526A4D" w:rsidP="00C37083">
      <w:pPr>
        <w:pStyle w:val="ListParagraph"/>
        <w:numPr>
          <w:ilvl w:val="0"/>
          <w:numId w:val="2"/>
        </w:numPr>
        <w:spacing w:after="0" w:line="240" w:lineRule="auto"/>
        <w:ind w:left="754" w:hanging="357"/>
        <w:contextualSpacing w:val="0"/>
      </w:pPr>
      <w:r w:rsidRPr="00526A4D">
        <w:rPr>
          <w:rFonts w:cstheme="minorHAnsi"/>
          <w:color w:val="000000"/>
          <w:sz w:val="24"/>
          <w:szCs w:val="24"/>
          <w:shd w:val="clear" w:color="auto" w:fill="FFFFFF"/>
        </w:rPr>
        <w:t>Above</w:t>
      </w:r>
      <w:r w:rsidR="00881A4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26A4D">
        <w:rPr>
          <w:rFonts w:cstheme="minorHAnsi"/>
          <w:color w:val="000000"/>
          <w:sz w:val="24"/>
          <w:szCs w:val="24"/>
          <w:shd w:val="clear" w:color="auto" w:fill="FFFFFF"/>
        </w:rPr>
        <w:t>average incineration rates</w:t>
      </w:r>
      <w:r w:rsidRPr="00526A4D">
        <w:rPr>
          <w:rFonts w:cstheme="minorHAnsi"/>
          <w:color w:val="000000"/>
          <w:shd w:val="clear" w:color="auto" w:fill="FFFFFF"/>
        </w:rPr>
        <w:t xml:space="preserve"> </w:t>
      </w:r>
      <w:r w:rsidR="00316481">
        <w:rPr>
          <w:rFonts w:cstheme="minorHAnsi"/>
          <w:color w:val="000000"/>
          <w:shd w:val="clear" w:color="auto" w:fill="FFFFFF"/>
        </w:rPr>
        <w:t xml:space="preserve">have been shown to be </w:t>
      </w:r>
      <w:r w:rsidRPr="00526A4D">
        <w:rPr>
          <w:rFonts w:cstheme="minorHAnsi"/>
          <w:color w:val="000000"/>
          <w:shd w:val="clear" w:color="auto" w:fill="FFFFFF"/>
        </w:rPr>
        <w:t xml:space="preserve">corelated with lower recycling rates, </w:t>
      </w:r>
      <w:hyperlink r:id="rId18" w:anchor="_edn20" w:history="1">
        <w:r w:rsidRPr="00526A4D">
          <w:rPr>
            <w:rStyle w:val="Hyperlink"/>
            <w:rFonts w:cstheme="minorHAnsi"/>
            <w:shd w:val="clear" w:color="auto" w:fill="FFFFFF"/>
          </w:rPr>
          <w:t>reported from</w:t>
        </w:r>
      </w:hyperlink>
      <w:r w:rsidRPr="00526A4D">
        <w:rPr>
          <w:rFonts w:cstheme="minorHAnsi"/>
          <w:color w:val="000000"/>
          <w:shd w:val="clear" w:color="auto" w:fill="FFFFFF"/>
        </w:rPr>
        <w:t xml:space="preserve"> DEFRA data on waste collected by </w:t>
      </w:r>
      <w:r w:rsidRPr="00526A4D">
        <w:rPr>
          <w:rStyle w:val="Emphasis"/>
          <w:rFonts w:cstheme="minorHAnsi"/>
          <w:color w:val="000000"/>
          <w:shd w:val="clear" w:color="auto" w:fill="FFFFFF"/>
        </w:rPr>
        <w:t xml:space="preserve">123 </w:t>
      </w:r>
      <w:r w:rsidRPr="00526A4D">
        <w:rPr>
          <w:rFonts w:cstheme="minorHAnsi"/>
          <w:color w:val="000000"/>
          <w:shd w:val="clear" w:color="auto" w:fill="FFFFFF"/>
        </w:rPr>
        <w:t>local authorities</w:t>
      </w:r>
      <w:r>
        <w:rPr>
          <w:rFonts w:ascii="Poppins" w:hAnsi="Poppins"/>
          <w:color w:val="000000"/>
          <w:shd w:val="clear" w:color="auto" w:fill="FFFFFF"/>
        </w:rPr>
        <w:t>.</w:t>
      </w:r>
    </w:p>
    <w:p w14:paraId="1E0C7F60" w14:textId="666EF46D" w:rsidR="005448D1" w:rsidRDefault="00DC26FE" w:rsidP="005448D1">
      <w:pPr>
        <w:pStyle w:val="ListParagraph"/>
        <w:numPr>
          <w:ilvl w:val="0"/>
          <w:numId w:val="2"/>
        </w:numPr>
        <w:spacing w:after="0" w:line="240" w:lineRule="auto"/>
        <w:ind w:left="754" w:hanging="357"/>
        <w:contextualSpacing w:val="0"/>
      </w:pPr>
      <w:r w:rsidRPr="00526A4D">
        <w:rPr>
          <w:sz w:val="24"/>
          <w:szCs w:val="24"/>
        </w:rPr>
        <w:t xml:space="preserve">Landfill </w:t>
      </w:r>
      <w:r w:rsidR="005448D1">
        <w:rPr>
          <w:sz w:val="24"/>
          <w:szCs w:val="24"/>
        </w:rPr>
        <w:t>can</w:t>
      </w:r>
      <w:r w:rsidRPr="00526A4D">
        <w:rPr>
          <w:sz w:val="24"/>
          <w:szCs w:val="24"/>
        </w:rPr>
        <w:t xml:space="preserve"> no longer </w:t>
      </w:r>
      <w:r w:rsidR="005448D1">
        <w:rPr>
          <w:sz w:val="24"/>
          <w:szCs w:val="24"/>
        </w:rPr>
        <w:t xml:space="preserve">be presented </w:t>
      </w:r>
      <w:r>
        <w:t xml:space="preserve">as </w:t>
      </w:r>
      <w:r w:rsidR="005448D1">
        <w:t>the only</w:t>
      </w:r>
      <w:r>
        <w:t xml:space="preserve"> alternative to incineration, as better alternatives become available.</w:t>
      </w:r>
    </w:p>
    <w:p w14:paraId="40B6F86D" w14:textId="544FFBB5" w:rsidR="0037087C" w:rsidRDefault="0037087C" w:rsidP="00E20C5F">
      <w:pPr>
        <w:pStyle w:val="ListParagraph"/>
        <w:numPr>
          <w:ilvl w:val="0"/>
          <w:numId w:val="2"/>
        </w:numPr>
        <w:spacing w:after="0" w:line="240" w:lineRule="auto"/>
        <w:ind w:left="754" w:hanging="357"/>
        <w:contextualSpacing w:val="0"/>
      </w:pPr>
      <w:r w:rsidRPr="0037087C">
        <w:rPr>
          <w:sz w:val="24"/>
          <w:szCs w:val="24"/>
        </w:rPr>
        <w:t>Proven</w:t>
      </w:r>
      <w:r w:rsidR="00DC246E" w:rsidRPr="0037087C">
        <w:rPr>
          <w:sz w:val="24"/>
          <w:szCs w:val="24"/>
        </w:rPr>
        <w:t xml:space="preserve"> technologies</w:t>
      </w:r>
      <w:r w:rsidR="00DC246E" w:rsidRPr="0037087C">
        <w:rPr>
          <w:color w:val="FF0000"/>
        </w:rPr>
        <w:t xml:space="preserve"> </w:t>
      </w:r>
      <w:r>
        <w:t xml:space="preserve">which extract a) metals, </w:t>
      </w:r>
      <w:proofErr w:type="gramStart"/>
      <w:r>
        <w:t>plastic</w:t>
      </w:r>
      <w:proofErr w:type="gramEnd"/>
      <w:r>
        <w:t xml:space="preserve"> and drinks cartons; b) organics are already in place in Glasgow, Amsterdam, Rotterdam and Oslo, reducing volumes for incineration.</w:t>
      </w:r>
    </w:p>
    <w:p w14:paraId="086622CC" w14:textId="1F4F6044" w:rsidR="0037087C" w:rsidRDefault="0037087C" w:rsidP="0019125D">
      <w:pPr>
        <w:pStyle w:val="ListParagraph"/>
        <w:numPr>
          <w:ilvl w:val="0"/>
          <w:numId w:val="2"/>
        </w:numPr>
        <w:spacing w:after="0" w:line="240" w:lineRule="auto"/>
        <w:ind w:left="754" w:hanging="357"/>
        <w:contextualSpacing w:val="0"/>
      </w:pPr>
      <w:r w:rsidRPr="00826AEF">
        <w:rPr>
          <w:sz w:val="24"/>
          <w:szCs w:val="24"/>
        </w:rPr>
        <w:t>Emerging technologies</w:t>
      </w:r>
      <w:r w:rsidRPr="00826AEF">
        <w:rPr>
          <w:color w:val="FF0000"/>
        </w:rPr>
        <w:t xml:space="preserve"> </w:t>
      </w:r>
      <w:r w:rsidRPr="0037087C">
        <w:t>which</w:t>
      </w:r>
      <w:r w:rsidRPr="00BE4F12">
        <w:t xml:space="preserve"> </w:t>
      </w:r>
      <w:r>
        <w:t>combine mixed waste sorting with mechanical and chemical recycling</w:t>
      </w:r>
      <w:r w:rsidR="00BB398D">
        <w:t xml:space="preserve">. </w:t>
      </w:r>
      <w:r>
        <w:t xml:space="preserve"> to obtain nearly 100% recycling/new fuels/ hydrocarbons. </w:t>
      </w:r>
      <w:r w:rsidR="00826AEF">
        <w:t xml:space="preserve">For instance, as a world’s first, </w:t>
      </w:r>
      <w:hyperlink r:id="rId19" w:history="1">
        <w:proofErr w:type="spellStart"/>
        <w:r w:rsidR="00826AEF">
          <w:rPr>
            <w:rStyle w:val="Hyperlink"/>
          </w:rPr>
          <w:t>Renasci</w:t>
        </w:r>
        <w:proofErr w:type="spellEnd"/>
      </w:hyperlink>
      <w:r w:rsidR="00826AEF">
        <w:t xml:space="preserve"> in Belgium aims to transform nearly ALL waste into recyclable materials and hydrocarbons feedstock for plastic and fuel. Once up and running this </w:t>
      </w:r>
      <w:r w:rsidR="00826AEF">
        <w:t xml:space="preserve">approach </w:t>
      </w:r>
      <w:r w:rsidR="00826AEF">
        <w:t>would make incinerators obsolete.</w:t>
      </w:r>
    </w:p>
    <w:p w14:paraId="240075E1" w14:textId="77777777" w:rsidR="0037087C" w:rsidRPr="00A30061" w:rsidRDefault="0037087C" w:rsidP="0037087C">
      <w:pPr>
        <w:spacing w:after="0" w:line="240" w:lineRule="auto"/>
        <w:ind w:left="397"/>
        <w:rPr>
          <w:sz w:val="16"/>
          <w:szCs w:val="16"/>
        </w:rPr>
      </w:pPr>
    </w:p>
    <w:p w14:paraId="50D94F45" w14:textId="1ECE76D6" w:rsidR="007E7C12" w:rsidRPr="00BE4F12" w:rsidRDefault="007E7C12" w:rsidP="00BE4F12">
      <w:pPr>
        <w:spacing w:after="0"/>
        <w:rPr>
          <w:b/>
          <w:bCs/>
          <w:sz w:val="28"/>
          <w:szCs w:val="28"/>
        </w:rPr>
      </w:pPr>
      <w:r w:rsidRPr="00BE4F12">
        <w:rPr>
          <w:b/>
          <w:bCs/>
          <w:sz w:val="28"/>
          <w:szCs w:val="28"/>
        </w:rPr>
        <w:t xml:space="preserve">NLWA statements </w:t>
      </w:r>
      <w:r w:rsidR="00BE4F12" w:rsidRPr="00BE4F12">
        <w:rPr>
          <w:b/>
          <w:bCs/>
          <w:sz w:val="28"/>
          <w:szCs w:val="28"/>
        </w:rPr>
        <w:t xml:space="preserve">relating to </w:t>
      </w:r>
      <w:proofErr w:type="gramStart"/>
      <w:r w:rsidR="00632C62">
        <w:rPr>
          <w:b/>
          <w:bCs/>
          <w:sz w:val="28"/>
          <w:szCs w:val="28"/>
        </w:rPr>
        <w:t>c</w:t>
      </w:r>
      <w:r w:rsidR="00BE4F12" w:rsidRPr="00BE4F12">
        <w:rPr>
          <w:b/>
          <w:bCs/>
          <w:sz w:val="28"/>
          <w:szCs w:val="28"/>
        </w:rPr>
        <w:t>apacity</w:t>
      </w:r>
      <w:proofErr w:type="gramEnd"/>
    </w:p>
    <w:p w14:paraId="5B4F9C19" w14:textId="07CAC603" w:rsidR="007E7C12" w:rsidRDefault="00911F0E" w:rsidP="00BE4F12">
      <w:pPr>
        <w:spacing w:after="0" w:line="240" w:lineRule="auto"/>
        <w:ind w:left="360"/>
      </w:pPr>
      <w:r>
        <w:t>NLWA has</w:t>
      </w:r>
      <w:r w:rsidR="00BE4F12">
        <w:t xml:space="preserve"> ‘</w:t>
      </w:r>
      <w:hyperlink r:id="rId20" w:history="1">
        <w:r w:rsidR="00BE4F12" w:rsidRPr="00BE4F12">
          <w:rPr>
            <w:rStyle w:val="Hyperlink"/>
          </w:rPr>
          <w:t>Myth Buster statements’</w:t>
        </w:r>
      </w:hyperlink>
      <w:r w:rsidR="00BE4F12">
        <w:t xml:space="preserve"> includ</w:t>
      </w:r>
      <w:r>
        <w:t>ing</w:t>
      </w:r>
      <w:r w:rsidR="00BE4F12">
        <w:t xml:space="preserve"> items a</w:t>
      </w:r>
      <w:r w:rsidR="007E7C12">
        <w:t xml:space="preserve">bout </w:t>
      </w:r>
      <w:r w:rsidR="007E7C12" w:rsidRPr="00FB08E2">
        <w:t>sticking to forecasts</w:t>
      </w:r>
      <w:r>
        <w:t>;</w:t>
      </w:r>
      <w:r w:rsidR="00BE4F12" w:rsidRPr="00FB08E2">
        <w:t xml:space="preserve"> being consistent </w:t>
      </w:r>
      <w:r w:rsidR="007E7C12" w:rsidRPr="00FB08E2">
        <w:t xml:space="preserve"> with Mayor of London’s target</w:t>
      </w:r>
      <w:r w:rsidR="00BE4F12" w:rsidRPr="00FB08E2">
        <w:t xml:space="preserve"> and being the </w:t>
      </w:r>
      <w:r w:rsidR="007E7C12" w:rsidRPr="00FB08E2">
        <w:t>only proven, sustainable and cost-effective solution</w:t>
      </w:r>
      <w:r w:rsidR="007E7C12">
        <w:t xml:space="preserve"> for treating the required volumes of waste</w:t>
      </w:r>
      <w:r w:rsidR="00BE4F12">
        <w:t xml:space="preserve">. </w:t>
      </w:r>
      <w:r w:rsidR="00FB08E2">
        <w:t>L</w:t>
      </w:r>
      <w:r w:rsidR="00BE4F12">
        <w:t xml:space="preserve">ittle </w:t>
      </w:r>
      <w:r w:rsidR="00FB08E2">
        <w:t xml:space="preserve">supporting </w:t>
      </w:r>
      <w:r w:rsidR="00BE4F12">
        <w:t xml:space="preserve">evidence </w:t>
      </w:r>
      <w:r w:rsidR="00FB08E2">
        <w:t>is provided</w:t>
      </w:r>
      <w:r w:rsidR="00BE4F12">
        <w:t xml:space="preserve">, </w:t>
      </w:r>
      <w:r w:rsidR="00FB08E2">
        <w:t xml:space="preserve">whereas </w:t>
      </w:r>
      <w:r w:rsidR="00BE4F12">
        <w:t>they can all be refuted with sound evidence.</w:t>
      </w:r>
    </w:p>
    <w:p w14:paraId="3B24491D" w14:textId="77777777" w:rsidR="002351C4" w:rsidRPr="00A30061" w:rsidRDefault="002351C4" w:rsidP="00BE4F12">
      <w:pPr>
        <w:spacing w:after="0"/>
        <w:rPr>
          <w:b/>
          <w:bCs/>
          <w:sz w:val="16"/>
          <w:szCs w:val="16"/>
        </w:rPr>
      </w:pPr>
    </w:p>
    <w:p w14:paraId="015A2F72" w14:textId="485EFB0A" w:rsidR="007E7C12" w:rsidRDefault="007E7C12" w:rsidP="00BE4F1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Risks re </w:t>
      </w:r>
      <w:r w:rsidR="00632C62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apacity</w:t>
      </w:r>
    </w:p>
    <w:p w14:paraId="2C00C861" w14:textId="4BFD8047" w:rsidR="002351C4" w:rsidRDefault="007E7C12" w:rsidP="00BE4F12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That </w:t>
      </w:r>
      <w:r w:rsidR="003735E8">
        <w:t>residual waste</w:t>
      </w:r>
      <w:r w:rsidR="004E5C8F">
        <w:t xml:space="preserve"> from North London Boroughs will have reduced so much, and so much recyclable material will be extracted</w:t>
      </w:r>
      <w:r w:rsidR="00DC5294">
        <w:t>,</w:t>
      </w:r>
      <w:r w:rsidR="004E5C8F">
        <w:t xml:space="preserve"> that </w:t>
      </w:r>
      <w:r>
        <w:t xml:space="preserve">the </w:t>
      </w:r>
      <w:r w:rsidR="00911F0E">
        <w:t>c</w:t>
      </w:r>
      <w:r w:rsidR="002351C4">
        <w:t>apacity</w:t>
      </w:r>
      <w:r w:rsidR="00EF79C5">
        <w:t xml:space="preserve"> of the Edmonton incinerator would be </w:t>
      </w:r>
      <w:r w:rsidR="004E5C8F">
        <w:t>excessive</w:t>
      </w:r>
      <w:r w:rsidR="00EF79C5">
        <w:t>.</w:t>
      </w:r>
    </w:p>
    <w:p w14:paraId="174C3ED4" w14:textId="482903A4" w:rsidR="007E7C12" w:rsidRDefault="007E7C12" w:rsidP="007E7C1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</w:pPr>
      <w:r>
        <w:t>That the</w:t>
      </w:r>
      <w:r w:rsidR="00EF79C5">
        <w:t xml:space="preserve"> higher </w:t>
      </w:r>
      <w:r w:rsidR="00911F0E">
        <w:t>c</w:t>
      </w:r>
      <w:r w:rsidR="00EF79C5">
        <w:t xml:space="preserve">apacity and lower waste volumes across England would make it difficult to buy in waste </w:t>
      </w:r>
    </w:p>
    <w:p w14:paraId="63131BB6" w14:textId="5B5C8D12" w:rsidR="007E7C12" w:rsidRDefault="007E7C12" w:rsidP="007E7C1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</w:pPr>
      <w:r>
        <w:t xml:space="preserve">That </w:t>
      </w:r>
      <w:r w:rsidR="00EF79C5">
        <w:t>having two large</w:t>
      </w:r>
      <w:r>
        <w:t xml:space="preserve"> treatment streams </w:t>
      </w:r>
      <w:r w:rsidR="00EF79C5">
        <w:t xml:space="preserve">would not allow </w:t>
      </w:r>
      <w:r w:rsidR="003735E8">
        <w:t xml:space="preserve">the </w:t>
      </w:r>
      <w:r w:rsidR="00EF79C5">
        <w:t>f</w:t>
      </w:r>
      <w:r w:rsidR="003735E8">
        <w:t>lexibility to</w:t>
      </w:r>
      <w:r>
        <w:t xml:space="preserve"> match </w:t>
      </w:r>
      <w:r w:rsidR="00911F0E">
        <w:t>capacity</w:t>
      </w:r>
      <w:r>
        <w:t xml:space="preserve"> with </w:t>
      </w:r>
      <w:r w:rsidR="00911F0E">
        <w:t>waste</w:t>
      </w:r>
      <w:r w:rsidR="003735E8">
        <w:t>.</w:t>
      </w:r>
    </w:p>
    <w:p w14:paraId="089CD7D0" w14:textId="2E581928" w:rsidR="004E5C8F" w:rsidRDefault="004E5C8F" w:rsidP="007E7C1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</w:pPr>
      <w:r>
        <w:t xml:space="preserve">That </w:t>
      </w:r>
      <w:r w:rsidR="00826AEF">
        <w:t>Energy from Waste incineration will be an obsolete technology soon after Edmonton is commissioned.</w:t>
      </w:r>
      <w:r w:rsidR="00826AEF">
        <w:t xml:space="preserve"> </w:t>
      </w:r>
    </w:p>
    <w:p w14:paraId="7AE8B529" w14:textId="77777777" w:rsidR="007E7C12" w:rsidRDefault="007E7C12" w:rsidP="00A30061">
      <w:pPr>
        <w:spacing w:after="0"/>
        <w:rPr>
          <w:lang w:eastAsia="en-GB"/>
        </w:rPr>
      </w:pPr>
      <w:r>
        <w:rPr>
          <w:b/>
          <w:bCs/>
          <w:sz w:val="28"/>
          <w:szCs w:val="28"/>
        </w:rPr>
        <w:t xml:space="preserve">Recommended area to </w:t>
      </w:r>
      <w:proofErr w:type="gramStart"/>
      <w:r>
        <w:rPr>
          <w:b/>
          <w:bCs/>
          <w:sz w:val="28"/>
          <w:szCs w:val="28"/>
        </w:rPr>
        <w:t>reassess</w:t>
      </w:r>
      <w:proofErr w:type="gramEnd"/>
    </w:p>
    <w:p w14:paraId="4C7AD337" w14:textId="04B70942" w:rsidR="007E7C12" w:rsidRDefault="007E7C12" w:rsidP="00FB08E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Capacity</w:t>
      </w:r>
      <w:r w:rsidR="009536A8">
        <w:t>. M</w:t>
      </w:r>
      <w:r>
        <w:t>odelling</w:t>
      </w:r>
      <w:r w:rsidR="009536A8">
        <w:t xml:space="preserve"> to</w:t>
      </w:r>
      <w:r w:rsidR="003735E8">
        <w:t xml:space="preserve"> cover waste volumes, latest processing options, end product </w:t>
      </w:r>
      <w:proofErr w:type="gramStart"/>
      <w:r w:rsidR="003735E8">
        <w:t>opportunities</w:t>
      </w:r>
      <w:proofErr w:type="gramEnd"/>
    </w:p>
    <w:p w14:paraId="2DE82AA9" w14:textId="77777777" w:rsidR="005571DE" w:rsidRDefault="005571DE" w:rsidP="005571DE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Currently available technology for separation from residual waste </w:t>
      </w:r>
    </w:p>
    <w:p w14:paraId="1F2D56AB" w14:textId="22B216F9" w:rsidR="004E5C8F" w:rsidRDefault="009536A8" w:rsidP="00FB08E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Emerging</w:t>
      </w:r>
      <w:r w:rsidR="004E5C8F">
        <w:t xml:space="preserve"> </w:t>
      </w:r>
      <w:r w:rsidR="005571DE">
        <w:t>t</w:t>
      </w:r>
      <w:r w:rsidR="004E5C8F">
        <w:t xml:space="preserve">echnology for </w:t>
      </w:r>
      <w:r w:rsidR="005571DE">
        <w:t xml:space="preserve">integrated </w:t>
      </w:r>
      <w:r w:rsidR="004E5C8F">
        <w:t>residual waste sorting with mechanical and chemical recycling</w:t>
      </w:r>
    </w:p>
    <w:p w14:paraId="2AC3F5D2" w14:textId="710505AF" w:rsidR="00146B13" w:rsidRDefault="005571DE" w:rsidP="0016488F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Market </w:t>
      </w:r>
      <w:r w:rsidR="00DC5294">
        <w:t>d</w:t>
      </w:r>
      <w:r>
        <w:t xml:space="preserve">emand and </w:t>
      </w:r>
      <w:r w:rsidR="00DC5294">
        <w:t>income</w:t>
      </w:r>
      <w:r>
        <w:t xml:space="preserve"> for selling sorted wastes</w:t>
      </w:r>
      <w:r w:rsidR="00DC5294">
        <w:t>,</w:t>
      </w:r>
      <w:r>
        <w:t xml:space="preserve"> given changes in regulations, technology and </w:t>
      </w:r>
      <w:proofErr w:type="gramStart"/>
      <w:r>
        <w:t>market</w:t>
      </w:r>
      <w:proofErr w:type="gramEnd"/>
    </w:p>
    <w:sectPr w:rsidR="00146B13" w:rsidSect="00266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6BD"/>
    <w:multiLevelType w:val="hybridMultilevel"/>
    <w:tmpl w:val="D380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0F2A"/>
    <w:multiLevelType w:val="hybridMultilevel"/>
    <w:tmpl w:val="FD30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E2FF8"/>
    <w:multiLevelType w:val="hybridMultilevel"/>
    <w:tmpl w:val="E7FE9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A3583"/>
    <w:multiLevelType w:val="hybridMultilevel"/>
    <w:tmpl w:val="28A2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A7B06"/>
    <w:multiLevelType w:val="hybridMultilevel"/>
    <w:tmpl w:val="B86C9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1B9B"/>
    <w:multiLevelType w:val="hybridMultilevel"/>
    <w:tmpl w:val="CEAA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83EEF"/>
    <w:multiLevelType w:val="hybridMultilevel"/>
    <w:tmpl w:val="278EC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F5397"/>
    <w:multiLevelType w:val="hybridMultilevel"/>
    <w:tmpl w:val="35626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B0ADE"/>
    <w:multiLevelType w:val="hybridMultilevel"/>
    <w:tmpl w:val="17DCD4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87D65"/>
    <w:multiLevelType w:val="hybridMultilevel"/>
    <w:tmpl w:val="CA8E4D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B338C8"/>
    <w:multiLevelType w:val="hybridMultilevel"/>
    <w:tmpl w:val="D0447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C3132"/>
    <w:multiLevelType w:val="hybridMultilevel"/>
    <w:tmpl w:val="F85E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B3F85"/>
    <w:multiLevelType w:val="hybridMultilevel"/>
    <w:tmpl w:val="308A6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C50C0"/>
    <w:multiLevelType w:val="hybridMultilevel"/>
    <w:tmpl w:val="27E0450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5FD11386"/>
    <w:multiLevelType w:val="hybridMultilevel"/>
    <w:tmpl w:val="78B2C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E1BCD"/>
    <w:multiLevelType w:val="hybridMultilevel"/>
    <w:tmpl w:val="67E0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E5D01"/>
    <w:multiLevelType w:val="hybridMultilevel"/>
    <w:tmpl w:val="64CC8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0264B"/>
    <w:multiLevelType w:val="hybridMultilevel"/>
    <w:tmpl w:val="65A0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843CC"/>
    <w:multiLevelType w:val="hybridMultilevel"/>
    <w:tmpl w:val="DF102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34F1C"/>
    <w:multiLevelType w:val="hybridMultilevel"/>
    <w:tmpl w:val="655A8C96"/>
    <w:lvl w:ilvl="0" w:tplc="08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15"/>
  </w:num>
  <w:num w:numId="6">
    <w:abstractNumId w:val="18"/>
  </w:num>
  <w:num w:numId="7">
    <w:abstractNumId w:val="13"/>
  </w:num>
  <w:num w:numId="8">
    <w:abstractNumId w:val="9"/>
  </w:num>
  <w:num w:numId="9">
    <w:abstractNumId w:val="17"/>
  </w:num>
  <w:num w:numId="10">
    <w:abstractNumId w:val="10"/>
  </w:num>
  <w:num w:numId="11">
    <w:abstractNumId w:val="3"/>
  </w:num>
  <w:num w:numId="12">
    <w:abstractNumId w:val="19"/>
  </w:num>
  <w:num w:numId="13">
    <w:abstractNumId w:val="16"/>
  </w:num>
  <w:num w:numId="14">
    <w:abstractNumId w:val="14"/>
  </w:num>
  <w:num w:numId="15">
    <w:abstractNumId w:val="6"/>
  </w:num>
  <w:num w:numId="16">
    <w:abstractNumId w:val="1"/>
  </w:num>
  <w:num w:numId="17">
    <w:abstractNumId w:val="0"/>
  </w:num>
  <w:num w:numId="18">
    <w:abstractNumId w:val="7"/>
  </w:num>
  <w:num w:numId="19">
    <w:abstractNumId w:val="2"/>
  </w:num>
  <w:num w:numId="20">
    <w:abstractNumId w:val="4"/>
  </w:num>
  <w:num w:numId="21">
    <w:abstractNumId w:val="5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12"/>
    <w:rsid w:val="00013B19"/>
    <w:rsid w:val="000154E9"/>
    <w:rsid w:val="00020309"/>
    <w:rsid w:val="0002516B"/>
    <w:rsid w:val="0003109F"/>
    <w:rsid w:val="00051788"/>
    <w:rsid w:val="000560AB"/>
    <w:rsid w:val="00057B1C"/>
    <w:rsid w:val="000A515B"/>
    <w:rsid w:val="000D256D"/>
    <w:rsid w:val="000F121E"/>
    <w:rsid w:val="001413EA"/>
    <w:rsid w:val="00144088"/>
    <w:rsid w:val="00146B13"/>
    <w:rsid w:val="0015623D"/>
    <w:rsid w:val="001A5B9D"/>
    <w:rsid w:val="0023396E"/>
    <w:rsid w:val="002351C4"/>
    <w:rsid w:val="00264182"/>
    <w:rsid w:val="00266E5D"/>
    <w:rsid w:val="002744E4"/>
    <w:rsid w:val="002829C4"/>
    <w:rsid w:val="002A0181"/>
    <w:rsid w:val="00316481"/>
    <w:rsid w:val="0033010B"/>
    <w:rsid w:val="00331D66"/>
    <w:rsid w:val="0037087C"/>
    <w:rsid w:val="003735E8"/>
    <w:rsid w:val="003A4F98"/>
    <w:rsid w:val="003A7B16"/>
    <w:rsid w:val="003C3290"/>
    <w:rsid w:val="003D3CCE"/>
    <w:rsid w:val="003E673C"/>
    <w:rsid w:val="003F5585"/>
    <w:rsid w:val="00401B48"/>
    <w:rsid w:val="00410FBE"/>
    <w:rsid w:val="00413885"/>
    <w:rsid w:val="00413959"/>
    <w:rsid w:val="0046408A"/>
    <w:rsid w:val="00471EDC"/>
    <w:rsid w:val="00477636"/>
    <w:rsid w:val="004E5C8F"/>
    <w:rsid w:val="00526A4D"/>
    <w:rsid w:val="005448D1"/>
    <w:rsid w:val="005571DE"/>
    <w:rsid w:val="00560275"/>
    <w:rsid w:val="005617D8"/>
    <w:rsid w:val="00571B3D"/>
    <w:rsid w:val="00586D91"/>
    <w:rsid w:val="00590BB6"/>
    <w:rsid w:val="005A05CC"/>
    <w:rsid w:val="005A5A69"/>
    <w:rsid w:val="005D1A1C"/>
    <w:rsid w:val="00611874"/>
    <w:rsid w:val="006147CE"/>
    <w:rsid w:val="00632C62"/>
    <w:rsid w:val="00643068"/>
    <w:rsid w:val="00643624"/>
    <w:rsid w:val="00667A28"/>
    <w:rsid w:val="00686418"/>
    <w:rsid w:val="006949A7"/>
    <w:rsid w:val="00706B17"/>
    <w:rsid w:val="0073768E"/>
    <w:rsid w:val="00760DC5"/>
    <w:rsid w:val="00763D36"/>
    <w:rsid w:val="0076793A"/>
    <w:rsid w:val="007D43D2"/>
    <w:rsid w:val="007D6F83"/>
    <w:rsid w:val="007E7C12"/>
    <w:rsid w:val="00826AEF"/>
    <w:rsid w:val="00837981"/>
    <w:rsid w:val="008575D7"/>
    <w:rsid w:val="00881A44"/>
    <w:rsid w:val="008B7D1C"/>
    <w:rsid w:val="008C075F"/>
    <w:rsid w:val="008D2A8B"/>
    <w:rsid w:val="008F3B26"/>
    <w:rsid w:val="00911F0E"/>
    <w:rsid w:val="0093010C"/>
    <w:rsid w:val="00936730"/>
    <w:rsid w:val="009536A8"/>
    <w:rsid w:val="00984018"/>
    <w:rsid w:val="00990C5B"/>
    <w:rsid w:val="009B4176"/>
    <w:rsid w:val="009D4368"/>
    <w:rsid w:val="00A12D2A"/>
    <w:rsid w:val="00A16F28"/>
    <w:rsid w:val="00A21D1F"/>
    <w:rsid w:val="00A2482A"/>
    <w:rsid w:val="00A30061"/>
    <w:rsid w:val="00A42DA6"/>
    <w:rsid w:val="00A618EC"/>
    <w:rsid w:val="00A747F3"/>
    <w:rsid w:val="00A84C5C"/>
    <w:rsid w:val="00AA78EB"/>
    <w:rsid w:val="00AB1850"/>
    <w:rsid w:val="00AB21FC"/>
    <w:rsid w:val="00AB3145"/>
    <w:rsid w:val="00AC54D7"/>
    <w:rsid w:val="00B034F9"/>
    <w:rsid w:val="00B04860"/>
    <w:rsid w:val="00B26635"/>
    <w:rsid w:val="00B27169"/>
    <w:rsid w:val="00B431FB"/>
    <w:rsid w:val="00BA0A09"/>
    <w:rsid w:val="00BB398D"/>
    <w:rsid w:val="00BE4F12"/>
    <w:rsid w:val="00C24954"/>
    <w:rsid w:val="00C3707A"/>
    <w:rsid w:val="00C46016"/>
    <w:rsid w:val="00C52DB4"/>
    <w:rsid w:val="00C75158"/>
    <w:rsid w:val="00C8142E"/>
    <w:rsid w:val="00C82361"/>
    <w:rsid w:val="00C87C80"/>
    <w:rsid w:val="00CA0202"/>
    <w:rsid w:val="00CD499C"/>
    <w:rsid w:val="00CF7D6B"/>
    <w:rsid w:val="00D014A2"/>
    <w:rsid w:val="00D05557"/>
    <w:rsid w:val="00D231B3"/>
    <w:rsid w:val="00D8057D"/>
    <w:rsid w:val="00D91946"/>
    <w:rsid w:val="00D9258B"/>
    <w:rsid w:val="00DB542F"/>
    <w:rsid w:val="00DC0A86"/>
    <w:rsid w:val="00DC246E"/>
    <w:rsid w:val="00DC26FE"/>
    <w:rsid w:val="00DC49E9"/>
    <w:rsid w:val="00DC5294"/>
    <w:rsid w:val="00DD0564"/>
    <w:rsid w:val="00DD5433"/>
    <w:rsid w:val="00DD6B8E"/>
    <w:rsid w:val="00E03734"/>
    <w:rsid w:val="00E20BBA"/>
    <w:rsid w:val="00E339B2"/>
    <w:rsid w:val="00E449A6"/>
    <w:rsid w:val="00E45040"/>
    <w:rsid w:val="00E45516"/>
    <w:rsid w:val="00E555F8"/>
    <w:rsid w:val="00E94068"/>
    <w:rsid w:val="00EB4505"/>
    <w:rsid w:val="00EB69EB"/>
    <w:rsid w:val="00ED18BD"/>
    <w:rsid w:val="00EF79C5"/>
    <w:rsid w:val="00F17E2C"/>
    <w:rsid w:val="00F50078"/>
    <w:rsid w:val="00F62DBE"/>
    <w:rsid w:val="00FB08E2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939B"/>
  <w15:chartTrackingRefBased/>
  <w15:docId w15:val="{09753B55-A92D-4FBC-AE59-1AAEE433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C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F12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3A4F98"/>
  </w:style>
  <w:style w:type="character" w:styleId="FollowedHyperlink">
    <w:name w:val="FollowedHyperlink"/>
    <w:basedOn w:val="DefaultParagraphFont"/>
    <w:uiPriority w:val="99"/>
    <w:semiHidden/>
    <w:unhideWhenUsed/>
    <w:rsid w:val="00B431F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7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9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798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617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6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26A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ydney\Documents\HIGHGATE\Labour%20CC&amp;E\waste\&#8226;%09https:\www.nlwa.gov.uk\sites\default\files\2021-06\06%20Finance%20Update.pdf" TargetMode="External"/><Relationship Id="rId13" Type="http://schemas.openxmlformats.org/officeDocument/2006/relationships/hyperlink" Target="https://bit.ly/XRPolicyBriefJune2021" TargetMode="External"/><Relationship Id="rId18" Type="http://schemas.openxmlformats.org/officeDocument/2006/relationships/hyperlink" Target="https://www.xrzerowaste.uk/annex-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orthlondonheatandpower.london/media/nvoltnnz/eunomia_nlwa_waste_forecasting_project_report_final_v1-1.pdf" TargetMode="External"/><Relationship Id="rId12" Type="http://schemas.openxmlformats.org/officeDocument/2006/relationships/hyperlink" Target="https://www.letsrecycle.com/news/latest-news/mayor-hits-out-at-cory-efw-approval/" TargetMode="External"/><Relationship Id="rId17" Type="http://schemas.openxmlformats.org/officeDocument/2006/relationships/hyperlink" Target="https://www.london.gov.uk/sites/default/files/the_london_plan_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sult.defra.gov.uk/extended-producer-responsibility/extended-producer-responsibility-for-packaging/supporting_documents/Extended%20Producer%20Responsibility%20Impact%20Assessment.pdf" TargetMode="External"/><Relationship Id="rId20" Type="http://schemas.openxmlformats.org/officeDocument/2006/relationships/hyperlink" Target="http://northlondonheatandpower.london/faqs/myth-busting/the-nlhpp-is-the-only-proven-sustainable-and-cost-effective-solution-for-treating-the-required-volumes-of-waste-at-edmonton-ecopar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bit.ly/XRPolicyBriefJune2021" TargetMode="External"/><Relationship Id="rId5" Type="http://schemas.openxmlformats.org/officeDocument/2006/relationships/hyperlink" Target="https://infrastructure.planninginspectorate.gov.uk/projects/london/north-london-heat-and-power-project/" TargetMode="External"/><Relationship Id="rId15" Type="http://schemas.openxmlformats.org/officeDocument/2006/relationships/hyperlink" Target="https://www.wastedataflow.org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renasci.be/en/techn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ndon.gov.uk/sites/default/files/the_london_plan_2021.pdf" TargetMode="External"/><Relationship Id="rId14" Type="http://schemas.openxmlformats.org/officeDocument/2006/relationships/hyperlink" Target="https://www.gov.uk/government/publications/environment-bill-2020/10-march-2020-waste-and-resource-efficiency-factsheet-part-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Charles</dc:creator>
  <cp:keywords/>
  <dc:description/>
  <cp:lastModifiedBy>Peter Charles</cp:lastModifiedBy>
  <cp:revision>6</cp:revision>
  <cp:lastPrinted>2021-07-21T05:26:00Z</cp:lastPrinted>
  <dcterms:created xsi:type="dcterms:W3CDTF">2021-07-26T14:50:00Z</dcterms:created>
  <dcterms:modified xsi:type="dcterms:W3CDTF">2021-07-27T17:53:00Z</dcterms:modified>
</cp:coreProperties>
</file>